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2B0" w:rsidRDefault="00EA12B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A12B0" w:rsidRDefault="00EA12B0">
      <w:pPr>
        <w:pStyle w:val="ConsPlusNormal"/>
        <w:ind w:firstLine="540"/>
        <w:jc w:val="both"/>
        <w:outlineLvl w:val="0"/>
      </w:pPr>
    </w:p>
    <w:p w:rsidR="00EA12B0" w:rsidRDefault="00EA12B0">
      <w:pPr>
        <w:pStyle w:val="ConsPlusNormal"/>
        <w:outlineLvl w:val="0"/>
      </w:pPr>
      <w:r>
        <w:t>Зарегистрировано в Минюсте России 1 июля 2022 г. N 69122</w:t>
      </w:r>
    </w:p>
    <w:p w:rsidR="00EA12B0" w:rsidRDefault="00EA12B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</w:pPr>
      <w:r>
        <w:t>МИНИСТЕРСТВО ПРОСВЕЩЕНИЯ РОССИЙСКОЙ ФЕДЕРАЦИИ</w:t>
      </w:r>
    </w:p>
    <w:p w:rsidR="00EA12B0" w:rsidRDefault="00EA12B0">
      <w:pPr>
        <w:pStyle w:val="ConsPlusTitle"/>
        <w:jc w:val="center"/>
      </w:pPr>
    </w:p>
    <w:p w:rsidR="00EA12B0" w:rsidRDefault="00EA12B0">
      <w:pPr>
        <w:pStyle w:val="ConsPlusTitle"/>
        <w:jc w:val="center"/>
      </w:pPr>
      <w:r>
        <w:t>ПРИКАЗ</w:t>
      </w:r>
    </w:p>
    <w:p w:rsidR="00EA12B0" w:rsidRDefault="00EA12B0">
      <w:pPr>
        <w:pStyle w:val="ConsPlusTitle"/>
        <w:jc w:val="center"/>
      </w:pPr>
      <w:r>
        <w:t>от 14 июня 2022 г. N 444</w:t>
      </w:r>
    </w:p>
    <w:p w:rsidR="00EA12B0" w:rsidRDefault="00EA12B0">
      <w:pPr>
        <w:pStyle w:val="ConsPlusTitle"/>
        <w:jc w:val="center"/>
      </w:pPr>
    </w:p>
    <w:p w:rsidR="00EA12B0" w:rsidRDefault="00EA12B0">
      <w:pPr>
        <w:pStyle w:val="ConsPlusTitle"/>
        <w:jc w:val="center"/>
      </w:pPr>
      <w:r>
        <w:t>ОБ УТВЕРЖДЕНИИ</w:t>
      </w:r>
    </w:p>
    <w:p w:rsidR="00EA12B0" w:rsidRDefault="00EA12B0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EA12B0" w:rsidRDefault="00EA12B0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EA12B0" w:rsidRDefault="00EA12B0">
      <w:pPr>
        <w:pStyle w:val="ConsPlusTitle"/>
        <w:jc w:val="center"/>
      </w:pPr>
      <w:r>
        <w:t>15.02.16 ТЕХНОЛОГИЯ МАШИНОСТРОЕНИЯ</w:t>
      </w:r>
    </w:p>
    <w:p w:rsidR="00EA12B0" w:rsidRDefault="00EA12B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A12B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A12B0" w:rsidRDefault="00EA12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A12B0" w:rsidRDefault="00EA12B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</w:tr>
    </w:tbl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подпунктом 4.2.30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и </w:t>
      </w:r>
      <w:hyperlink r:id="rId7">
        <w:r>
          <w:rPr>
            <w:color w:val="0000FF"/>
          </w:rPr>
          <w:t>пунктом 27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Российской Федерации, 2019, N 16, ст. 1942), приказываю: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6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15.02.16 Технология машиностроения (далее - стандарт).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 Установить, что: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образовательная организация вправе осуществлять в соответствии со </w:t>
      </w:r>
      <w:hyperlink w:anchor="P36">
        <w:r>
          <w:rPr>
            <w:color w:val="0000FF"/>
          </w:rPr>
          <w:t>стандартом</w:t>
        </w:r>
      </w:hyperlink>
      <w:r>
        <w:t xml:space="preserve"> обучение лиц, зачисленных до вступления в силу настоящего приказа, с их согласия;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прием на обучение в соответствии с федеральным государственным образовательным </w:t>
      </w:r>
      <w:hyperlink r:id="rId8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9">
        <w:r>
          <w:rPr>
            <w:color w:val="0000FF"/>
          </w:rPr>
          <w:t>15.02.08</w:t>
        </w:r>
      </w:hyperlink>
      <w:r>
        <w:t xml:space="preserve"> Технология машиностроения, утвержденным приказом Министерства образования и науки Российской Федерации от 18 апреля 2014 г. N 350 (зарегистрирован Министерством юстиции Российской Федерации 22 июля 2014 г., регистрационный N 33204), с изменениями, внесенными приказом Министерства просвещения Российской Федерации от 13 июля 2021 г. N 450 (зарегистрирован Министерством юстиции Российской Федерации 14 октября 2021 г., регистрационный N 65410), и федеральным государственным образовательным </w:t>
      </w:r>
      <w:hyperlink r:id="rId10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11">
        <w:r>
          <w:rPr>
            <w:color w:val="0000FF"/>
          </w:rPr>
          <w:t>15.02.15</w:t>
        </w:r>
      </w:hyperlink>
      <w:r>
        <w:t xml:space="preserve"> Технология металлообрабатывающего производства, утвержденным приказом Министерства образования и науки Российской Федерации от 9 декабря 2016 г. N 1561 (зарегистрирован Министерством юстиции Российской Федерации 26 декабря 2016 г., регистрационный N 44979), с изменениями, внесенными приказом Министерства просвещения Российской Федерации от 17 декабря 2020 г. N 747 (зарегистрирован Министерством юстиции Российской Федерации 22 января 2021 г., регистрационный N </w:t>
      </w:r>
      <w:r>
        <w:lastRenderedPageBreak/>
        <w:t xml:space="preserve">62178), прекращается с 31 декабря 2022 г., а при реализации образовательной организацией образовательной программы по специальности </w:t>
      </w:r>
      <w:hyperlink r:id="rId12">
        <w:r>
          <w:rPr>
            <w:color w:val="0000FF"/>
          </w:rPr>
          <w:t>15.02.16</w:t>
        </w:r>
      </w:hyperlink>
      <w:r>
        <w:t xml:space="preserve"> Технология машиностроения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проводимого в соответствии с </w:t>
      </w:r>
      <w:hyperlink r:id="rId13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марта 2022 г. N 387 (Собрание законодательства Российской Федерации, 2022, N 12, ст. 1871), - с 1 августа 2022 года.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right"/>
      </w:pPr>
      <w:r>
        <w:t>Министр</w:t>
      </w:r>
    </w:p>
    <w:p w:rsidR="00EA12B0" w:rsidRDefault="00EA12B0">
      <w:pPr>
        <w:pStyle w:val="ConsPlusNormal"/>
        <w:jc w:val="right"/>
      </w:pPr>
      <w:r>
        <w:t>С.С.КРАВЦОВ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right"/>
        <w:outlineLvl w:val="0"/>
      </w:pPr>
      <w:r>
        <w:t>Приложение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right"/>
      </w:pPr>
      <w:r>
        <w:t>Утвержден</w:t>
      </w:r>
    </w:p>
    <w:p w:rsidR="00EA12B0" w:rsidRDefault="00EA12B0">
      <w:pPr>
        <w:pStyle w:val="ConsPlusNormal"/>
        <w:jc w:val="right"/>
      </w:pPr>
      <w:r>
        <w:t>приказом Министерства просвещения</w:t>
      </w:r>
    </w:p>
    <w:p w:rsidR="00EA12B0" w:rsidRDefault="00EA12B0">
      <w:pPr>
        <w:pStyle w:val="ConsPlusNormal"/>
        <w:jc w:val="right"/>
      </w:pPr>
      <w:r>
        <w:t>Российской Федерации</w:t>
      </w:r>
    </w:p>
    <w:p w:rsidR="00EA12B0" w:rsidRDefault="00EA12B0">
      <w:pPr>
        <w:pStyle w:val="ConsPlusNormal"/>
        <w:jc w:val="right"/>
      </w:pPr>
      <w:r>
        <w:t>от 14 июня 2022 г. N 444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</w:pPr>
      <w:bookmarkStart w:id="0" w:name="P36"/>
      <w:bookmarkEnd w:id="0"/>
      <w:r>
        <w:t>ФЕДЕРАЛЬНЫЙ ГОСУДАРСТВЕННЫЙ ОБРАЗОВАТЕЛЬНЫЙ СТАНДАРТ</w:t>
      </w:r>
    </w:p>
    <w:p w:rsidR="00EA12B0" w:rsidRDefault="00EA12B0">
      <w:pPr>
        <w:pStyle w:val="ConsPlusTitle"/>
        <w:jc w:val="center"/>
      </w:pPr>
      <w:r>
        <w:t>СРЕДНЕГО ПРОФЕССИОНАЛЬНОГО ОБРАЗОВАНИЯ</w:t>
      </w:r>
    </w:p>
    <w:p w:rsidR="00EA12B0" w:rsidRDefault="00EA12B0">
      <w:pPr>
        <w:pStyle w:val="ConsPlusTitle"/>
        <w:jc w:val="center"/>
      </w:pPr>
      <w:r>
        <w:t>ПО СПЕЦИАЛЬНОСТИ 15.02.16 ТЕХНОЛОГИЯ МАШИНОСТРОЕНИЯ</w:t>
      </w:r>
    </w:p>
    <w:p w:rsidR="00EA12B0" w:rsidRDefault="00EA12B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A12B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A12B0" w:rsidRDefault="00EA12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A12B0" w:rsidRDefault="00EA12B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12B0" w:rsidRDefault="00EA12B0">
            <w:pPr>
              <w:pStyle w:val="ConsPlusNormal"/>
            </w:pPr>
          </w:p>
        </w:tc>
      </w:tr>
    </w:tbl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  <w:outlineLvl w:val="1"/>
      </w:pPr>
      <w:r>
        <w:t>I. ОБЩИЕ ПОЛОЖЕНИЯ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bookmarkStart w:id="1" w:name="P44"/>
      <w:bookmarkEnd w:id="1"/>
      <w:r>
        <w:t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при реализации образовательных программ среднего профессионального образования - программ подготовки специалистов среднего звена по специальности 15.02.16 Технология машиностроения (далее соответственно - ФГОС СПО, образовательная программа, специальность) в соответствии с квалификацией специалиста среднего звена "техник-технолог".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1.2. Получение образования по специальности допускается только в профессиональной образовательной организации или образовательной организации высшего образования (далее вместе - образовательная организация).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1.3. Образовательная программа, реализуемая на базе основного общего образования,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&lt;1&gt;, ФГОС СПО и положений федеральной основной общеобразовательной программы среднего общего образования с учетом получаемой специальности.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lastRenderedPageBreak/>
        <w:t xml:space="preserve">&lt;1&gt; Федеральный государственный образовательный </w:t>
      </w:r>
      <w:hyperlink r:id="rId16">
        <w:r>
          <w:rPr>
            <w:color w:val="0000FF"/>
          </w:rPr>
          <w:t>стандарт</w:t>
        </w:r>
      </w:hyperlink>
      <w:r>
        <w:t xml:space="preserve"> среднего общего образования, утвержденный приказом Министерства образования и науки Российской Федерации от 17 мая 2012 г. N 413 (зарегистрирован Министерством юстиции Российской Федерации 7 июня 2012 г., регистрационный N 24480), с изменениями, внесенными приказами Министерства образования и науки Российской Федерации от 29 декабря 2014 г. N 1645 (зарегистрирован Министерством юстиции Российской Федерации 9 февраля 2015 г., регистрационный N 35953), от 31 декабря 2015 г. N 1578 (зарегистрирован Министерством юстиции Российской Федерации 9 февраля 2016 г., регистрационный N 41020), от 29 июня 2017 г. N 613 (зарегистрирован Министерством юстиции Российской Федерации 26 июля 2017 г., регистрационный N 47532), приказами Министерства просвещения Российской Федерации от 24 сентября 2020 г. N 519 (зарегистрирован Министерством юстиции Российской Федерации 23 декабря 2020 г., регистрационный N 61749), от 11 декабря 2020 г. N 712 (зарегистрирован Министерством юстиции Российской Федерации 25 декабря 2020 г., регистрационный N 61828), от 12 августа 2022 г. N 732 (зарегистрирован Министерством юстиции Российской Федерации 12 сентября 2022 г., регистрационный N 70034) и от 27 декабря 2023 г. N 1028 (зарегистрирован Министерством юстиции Российской Федерации 2 февраля 2024 г., регистрационный N 77121).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1.4. Обучение по образовательной программе в образовательной организации осуществляется в очной, очно-заочной и заочной формах обучения.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1.5.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1.6. Реализация образовательной программы осуществляется образовательной организацией как самостоятельно, так и посредством сетевой формы.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1.7.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соответствующую примерную образовательную программу, включенную в реестр примерных образовательных программ (далее - ПОП), примерной рабочей программы воспитания и примерного календарного плана воспитательной работы &lt;2&gt;.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&lt;2&gt; </w:t>
      </w:r>
      <w:hyperlink r:id="rId19">
        <w:r>
          <w:rPr>
            <w:color w:val="0000FF"/>
          </w:rPr>
          <w:t>Часть 2 статьи 12.1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2020, N 31, ст. 5063).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1.8. Образовательная программа реализуется на государственном языке Российской Федерации, если иное не определено локальным нормативным актом образовательной организации &lt;3&gt;.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lastRenderedPageBreak/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&lt;3&gt; </w:t>
      </w:r>
      <w:hyperlink r:id="rId20">
        <w:r>
          <w:rPr>
            <w:color w:val="0000FF"/>
          </w:rPr>
          <w:t>Статья 14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bookmarkStart w:id="2" w:name="P66"/>
      <w:bookmarkEnd w:id="2"/>
      <w:r>
        <w:t>1.9. Срок получения образования по образовательной программе в очной форме обучения вне зависимости от применяемых образовательных технологий составляет: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на базе среднего общего образования - 2 года 10 месяцев;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на базе основного общего образования - 3 года 10 месяцев.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Срок получения образования по образовательной программе в очно-заочной и заочной формах обучения, вне зависимости от применяемых образовательных технологий, увеличивается по сравнению со сроком получения образования в очной форме обучения не более чем на 1 год.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1.10. При обучении по индивидуальному учебному плану срок получения образования по образовательной программе, вне зависимости от формы обучения, составляет не более срока получения образования, установленного для соответствующей формы обучения.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один год по сравнению со сроком получения образования для соответствующей формы обучения.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1.11. Конкретный срок получения образования в очно-заочной и заочной формах обучения, а также по индивидуальному учебному плану, в том числе при ускоренном обучении, определяется образовательной организацией самостоятельно в пределах сроков, установленных </w:t>
      </w:r>
      <w:hyperlink w:anchor="P66">
        <w:r>
          <w:rPr>
            <w:color w:val="0000FF"/>
          </w:rPr>
          <w:t>пунктом 1.9</w:t>
        </w:r>
      </w:hyperlink>
      <w:r>
        <w:t xml:space="preserve"> ФГОС СПО.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1.12. Для определения объема образовательной программы образовательной организацией может быть применена система зачетных единиц, при этом одна зачетная единица соответствует 32 - 36 академическим часам.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1.13. Срок получения образования по образовательной программе, реализуемой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а также объем такой образовательной программы могут быть уменьшены с учетом соответствующей ПОП, но не более чем на 40 процентов от срока получения образования и объема образовательной программы, установленных ФГОС СПО &lt;4&gt;.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&lt;4&gt; </w:t>
      </w:r>
      <w:hyperlink r:id="rId22">
        <w:r>
          <w:rPr>
            <w:color w:val="0000FF"/>
          </w:rPr>
          <w:t>Пункт 11</w:t>
        </w:r>
      </w:hyperlink>
      <w:r>
        <w:t xml:space="preserve"> Положения о проведении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утвержденного постановлением Правительства Российской Федерации от 16 марта 2022 г. N 387 (Собрание законодательства Российской Федерации, 2022, N 12, ст. 1871).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bookmarkStart w:id="3" w:name="P79"/>
      <w:bookmarkEnd w:id="3"/>
      <w:r>
        <w:lastRenderedPageBreak/>
        <w:t xml:space="preserve">1.14. Области профессиональной деятельности, в которых выпускники, освоившие образовательную программу, могут осуществлять профессиональную деятельность: </w:t>
      </w:r>
      <w:hyperlink r:id="rId23">
        <w:r>
          <w:rPr>
            <w:color w:val="0000FF"/>
          </w:rPr>
          <w:t>25</w:t>
        </w:r>
      </w:hyperlink>
      <w:r>
        <w:t xml:space="preserve"> Ракетно-космическая промышленность; </w:t>
      </w:r>
      <w:hyperlink r:id="rId24">
        <w:r>
          <w:rPr>
            <w:color w:val="0000FF"/>
          </w:rPr>
          <w:t>31</w:t>
        </w:r>
      </w:hyperlink>
      <w:r>
        <w:t xml:space="preserve"> Автомобилестроение; </w:t>
      </w:r>
      <w:hyperlink r:id="rId25">
        <w:r>
          <w:rPr>
            <w:color w:val="0000FF"/>
          </w:rPr>
          <w:t>32</w:t>
        </w:r>
      </w:hyperlink>
      <w:r>
        <w:t xml:space="preserve"> Авиастроение; </w:t>
      </w:r>
      <w:hyperlink r:id="rId26">
        <w:r>
          <w:rPr>
            <w:color w:val="0000FF"/>
          </w:rPr>
          <w:t>40</w:t>
        </w:r>
      </w:hyperlink>
      <w:r>
        <w:t xml:space="preserve"> Сквозные виды деятельности в промышленности &lt;5&gt;.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&lt;5&gt; </w:t>
      </w:r>
      <w:hyperlink r:id="rId27">
        <w:r>
          <w:rPr>
            <w:color w:val="0000FF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34779),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1.15. При разработке образовательной программы образовательная организация устанавливает направленность, которая конкретизирует содержание программы путем ориентации на вид (виды) деятельности, с учетом соответствующей ПОП.</w:t>
      </w:r>
    </w:p>
    <w:p w:rsidR="00EA12B0" w:rsidRDefault="00EA12B0">
      <w:pPr>
        <w:pStyle w:val="ConsPlusNormal"/>
        <w:jc w:val="both"/>
      </w:pPr>
      <w:r>
        <w:t xml:space="preserve">(п. 1.15 в ред. </w:t>
      </w:r>
      <w:hyperlink r:id="rId2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  <w:outlineLvl w:val="1"/>
      </w:pPr>
      <w:r>
        <w:t>II. ТРЕБОВАНИЯ К СТРУКТУРЕ ОБРАЗОВАТЕЛЬНОЙ ПРОГРАММЫ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 xml:space="preserve">2.1. Структура и объем образовательной программы </w:t>
      </w:r>
      <w:hyperlink w:anchor="P96">
        <w:r>
          <w:rPr>
            <w:color w:val="0000FF"/>
          </w:rPr>
          <w:t>(таблица N 1)</w:t>
        </w:r>
      </w:hyperlink>
      <w:r>
        <w:t xml:space="preserve"> включает: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дисциплины (модули);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практику;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государственную итоговую аттестацию.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right"/>
      </w:pPr>
      <w:r>
        <w:t>Таблица N 1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center"/>
      </w:pPr>
      <w:bookmarkStart w:id="4" w:name="P96"/>
      <w:bookmarkEnd w:id="4"/>
      <w:r>
        <w:t>Структура и объем образовательной программы</w:t>
      </w:r>
    </w:p>
    <w:p w:rsidR="00EA12B0" w:rsidRDefault="00EA12B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402"/>
      </w:tblGrid>
      <w:tr w:rsidR="00EA12B0">
        <w:tc>
          <w:tcPr>
            <w:tcW w:w="5669" w:type="dxa"/>
          </w:tcPr>
          <w:p w:rsidR="00EA12B0" w:rsidRDefault="00EA12B0">
            <w:pPr>
              <w:pStyle w:val="ConsPlusNormal"/>
              <w:jc w:val="center"/>
            </w:pPr>
            <w:r>
              <w:t>Структура образовательной программы</w:t>
            </w:r>
          </w:p>
        </w:tc>
        <w:tc>
          <w:tcPr>
            <w:tcW w:w="3402" w:type="dxa"/>
          </w:tcPr>
          <w:p w:rsidR="00EA12B0" w:rsidRDefault="00EA12B0">
            <w:pPr>
              <w:pStyle w:val="ConsPlusNormal"/>
              <w:jc w:val="center"/>
            </w:pPr>
            <w:r>
              <w:t>Объем образовательной программы, в академических часах</w:t>
            </w:r>
          </w:p>
        </w:tc>
      </w:tr>
      <w:tr w:rsidR="00EA12B0">
        <w:tc>
          <w:tcPr>
            <w:tcW w:w="5669" w:type="dxa"/>
          </w:tcPr>
          <w:p w:rsidR="00EA12B0" w:rsidRDefault="00EA12B0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3402" w:type="dxa"/>
          </w:tcPr>
          <w:p w:rsidR="00EA12B0" w:rsidRDefault="00EA12B0">
            <w:pPr>
              <w:pStyle w:val="ConsPlusNormal"/>
              <w:jc w:val="center"/>
            </w:pPr>
            <w:r>
              <w:t>Не менее 2052</w:t>
            </w:r>
          </w:p>
        </w:tc>
      </w:tr>
      <w:tr w:rsidR="00EA12B0">
        <w:tc>
          <w:tcPr>
            <w:tcW w:w="5669" w:type="dxa"/>
          </w:tcPr>
          <w:p w:rsidR="00EA12B0" w:rsidRDefault="00EA12B0">
            <w:pPr>
              <w:pStyle w:val="ConsPlusNormal"/>
            </w:pPr>
            <w:r>
              <w:t>Практика</w:t>
            </w:r>
          </w:p>
        </w:tc>
        <w:tc>
          <w:tcPr>
            <w:tcW w:w="3402" w:type="dxa"/>
          </w:tcPr>
          <w:p w:rsidR="00EA12B0" w:rsidRDefault="00EA12B0">
            <w:pPr>
              <w:pStyle w:val="ConsPlusNormal"/>
              <w:jc w:val="center"/>
            </w:pPr>
            <w:r>
              <w:t>Не менее 900</w:t>
            </w:r>
          </w:p>
        </w:tc>
      </w:tr>
      <w:tr w:rsidR="00EA12B0">
        <w:tc>
          <w:tcPr>
            <w:tcW w:w="5669" w:type="dxa"/>
          </w:tcPr>
          <w:p w:rsidR="00EA12B0" w:rsidRDefault="00EA12B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3402" w:type="dxa"/>
          </w:tcPr>
          <w:p w:rsidR="00EA12B0" w:rsidRDefault="00EA12B0">
            <w:pPr>
              <w:pStyle w:val="ConsPlusNormal"/>
              <w:jc w:val="center"/>
            </w:pPr>
            <w:r>
              <w:t>216</w:t>
            </w:r>
          </w:p>
        </w:tc>
      </w:tr>
      <w:tr w:rsidR="00EA12B0">
        <w:tc>
          <w:tcPr>
            <w:tcW w:w="9071" w:type="dxa"/>
            <w:gridSpan w:val="2"/>
          </w:tcPr>
          <w:p w:rsidR="00EA12B0" w:rsidRDefault="00EA12B0">
            <w:pPr>
              <w:pStyle w:val="ConsPlusNormal"/>
              <w:jc w:val="center"/>
            </w:pPr>
            <w:r>
              <w:t>Общий объем образовательной программы:</w:t>
            </w:r>
          </w:p>
        </w:tc>
      </w:tr>
      <w:tr w:rsidR="00EA12B0">
        <w:tc>
          <w:tcPr>
            <w:tcW w:w="5669" w:type="dxa"/>
          </w:tcPr>
          <w:p w:rsidR="00EA12B0" w:rsidRDefault="00EA12B0">
            <w:pPr>
              <w:pStyle w:val="ConsPlusNormal"/>
            </w:pPr>
            <w:r>
              <w:t>на базе среднего общего образования</w:t>
            </w:r>
          </w:p>
        </w:tc>
        <w:tc>
          <w:tcPr>
            <w:tcW w:w="3402" w:type="dxa"/>
          </w:tcPr>
          <w:p w:rsidR="00EA12B0" w:rsidRDefault="00EA12B0">
            <w:pPr>
              <w:pStyle w:val="ConsPlusNormal"/>
              <w:jc w:val="center"/>
            </w:pPr>
            <w:r>
              <w:t>4464</w:t>
            </w:r>
          </w:p>
        </w:tc>
      </w:tr>
      <w:tr w:rsidR="00EA12B0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:rsidR="00EA12B0" w:rsidRDefault="00EA12B0">
            <w:pPr>
              <w:pStyle w:val="ConsPlusNormal"/>
            </w:pPr>
            <w:r>
              <w:t xml:space="preserve">на базе основного общего образования, включая </w:t>
            </w:r>
            <w:r>
              <w:lastRenderedPageBreak/>
              <w:t>получение среднего общего образования на основе требований федерального государственного образовательного стандарта среднего общего образования</w:t>
            </w:r>
          </w:p>
        </w:tc>
        <w:tc>
          <w:tcPr>
            <w:tcW w:w="3402" w:type="dxa"/>
            <w:tcBorders>
              <w:bottom w:val="nil"/>
            </w:tcBorders>
          </w:tcPr>
          <w:p w:rsidR="00EA12B0" w:rsidRDefault="00EA12B0">
            <w:pPr>
              <w:pStyle w:val="ConsPlusNormal"/>
              <w:jc w:val="center"/>
            </w:pPr>
            <w:r>
              <w:lastRenderedPageBreak/>
              <w:t>5940</w:t>
            </w:r>
          </w:p>
        </w:tc>
      </w:tr>
      <w:tr w:rsidR="00EA12B0">
        <w:tblPrEx>
          <w:tblBorders>
            <w:insideH w:val="nil"/>
          </w:tblBorders>
        </w:tblPrEx>
        <w:tc>
          <w:tcPr>
            <w:tcW w:w="9071" w:type="dxa"/>
            <w:gridSpan w:val="2"/>
            <w:tcBorders>
              <w:top w:val="nil"/>
            </w:tcBorders>
          </w:tcPr>
          <w:p w:rsidR="00EA12B0" w:rsidRDefault="00EA12B0">
            <w:pPr>
              <w:pStyle w:val="ConsPlusNormal"/>
              <w:jc w:val="both"/>
            </w:pPr>
            <w:r>
              <w:t xml:space="preserve">(в ред. </w:t>
            </w:r>
            <w:hyperlink r:id="rId29">
              <w:r>
                <w:rPr>
                  <w:color w:val="0000FF"/>
                </w:rPr>
                <w:t>Приказа</w:t>
              </w:r>
            </w:hyperlink>
            <w:r>
              <w:t xml:space="preserve"> Минпросвещения России от 03.07.2024 N 464)</w:t>
            </w:r>
          </w:p>
        </w:tc>
      </w:tr>
    </w:tbl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2.2. Образовательная программа включает циклы: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социально-гуманитарный цикл;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общепрофессиональный цикл;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профессиональный цикл.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2.3. В рамках образовательной программы выделяются обязательная часть и часть, формируемая участниками образовательных отношений (вариативная часть).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Обязательная часть образовательной программы направлена на формирование общих и профессиональных компетенций, предусмотренных </w:t>
      </w:r>
      <w:hyperlink w:anchor="P148">
        <w:r>
          <w:rPr>
            <w:color w:val="0000FF"/>
          </w:rPr>
          <w:t>главой III</w:t>
        </w:r>
      </w:hyperlink>
      <w:r>
        <w:t xml:space="preserve"> ФГОС СПО.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Объем обязательной части без учета объема государственной итоговой аттестации должен составлять не более 70 процентов от общего объема времени, отведенного на освоение образовательной программы.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Вариативная часть образовательной программы объемом не менее 30 процентов от общего объема времени, отведенного на освоение образовательной программы, дает возможность дальнейшего развития общих и профессиональных компетенций, в том числе за счет расширения видов деятельности, введения дополнительных видов деятельности, а также профессиональных компетенций, необходимых для обеспечения конкурентоспособности выпускника в соответствии с потребностями регионального рынка труда, а также с учетом требований цифровой экономики.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Конкретное соотношение обязательной и вариативной частей образовательной программы, объемные параметры циклов и практики образовательная организация определяет самостоятельно в соответствии с требованиями настоящего пункта, а также с учетом ПОП.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bookmarkStart w:id="5" w:name="P123"/>
      <w:bookmarkEnd w:id="5"/>
      <w:r>
        <w:t>2.4. Образовательная программа разрабатывается образовательной организацией в соответствии с ФГОС СПО и с учетом ПОП и предполагает освоение следующих видов деятельности: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разработка технологических процессов изготовления деталей машин;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разработка и внедрение управляющих программ изготовления деталей машин в машиностроительном производстве;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разработка и реализация технологических процессов в механосборочном производстве;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организация контроля, наладки и технического обслуживания оборудования </w:t>
      </w:r>
      <w:r>
        <w:lastRenderedPageBreak/>
        <w:t>машиностроительного производства;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организация работ по реализации технологических процессов в машиностроительном производстве.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2.5. Образовательная организация при необходимости самостоятельно формирует виды деятельности в дополнение к видам деятельности, указанным в </w:t>
      </w:r>
      <w:hyperlink w:anchor="P123">
        <w:r>
          <w:rPr>
            <w:color w:val="0000FF"/>
          </w:rPr>
          <w:t>пункте 2.4</w:t>
        </w:r>
      </w:hyperlink>
      <w:r>
        <w:t xml:space="preserve"> ФГОС СПО, в рамках вариативной части.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2.6. При освоении социально-гуманитарного, общепрофессионального и профессионального циклов (далее - учебные циклы) выделяется объем учебных занятий, практики (в профессиональном цикле) и самостоятельной работы.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На проведение учебных занятий и практики должно быть выделено не менее 70 процентов от объема учебных циклов образовательной программы в очной форме обучения, не менее 25 процентов - в очно-заочной форме обучения и не менее 10 процентов - в заочной форме обучения.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В учебные циклы включается промежуточная аттестация обучающихся, которая осуществляется в рамках освоения указанных циклов в соответствии с формой, определяемой образовательной организацией, и оценочными материалами, позволяющими оценить достижение запланированных по отдельным дисциплинам (модулям) и практикам результатов обучения.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2.7. Обязательная часть социально-гуманитарного цикла образовательной программы должна предусматривать изучение следующих дисциплин: "История России", "Иностранный язык в профессиональной деятельности", "Безопасность жизнедеятельности", "Физическая культура", "Основы бережливого производства".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Общий объем дисциплины "Безопасность жизнедеятельности" в очной форме обучения не может быть менее 68 академических часов, из них на освоение основ военной службы (для юношей) - не менее 48 академических часов; для подгрупп девушек это время может быть использовано на освоение основ медицинских знаний.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Дисциплина "Физическая культура" должна способствовать формированию физической культуры выпускника и способности направленного использования средств физической культуры и спорта для сохранения и укрепления здоровья, психофизической подготовке к профессиональной деятельности, предупреждению профессиональных заболеваний.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2.8. Обязательная часть общепрофессионального цикла образовательной программы должна предусматривать изучение следующих дисциплин: "Инженерная графика", "Техническая механика", "Материаловедение, "Метрология, стандартизация и сертификация", "Процессы формообразования и инструменты", "Технология машиностроения", "Охрана труда", "Математика в профессиональной деятельности".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2.9. Профессиональный цикл образовательной программы включает профессиональные модули, которые формируются в соответствии с видами деятельности, предусмотренными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а также дополнительными видами деятельности, сформированными образовательными организациями самостоятельно. В </w:t>
      </w:r>
      <w:r>
        <w:lastRenderedPageBreak/>
        <w:t>состав профессионального модуля входит один или несколько междисциплинарных курсов, которые устанавливаются образовательной организацией самостоятельно с учетом ПОП. Объем профессионального модуля составляет не менее 8 зачетных единиц.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2.10. Практика входит в профессиональный цикл и имеет следующие виды - учебная практика и производственная практика, которые реализуются в форме практической подготовки. Учебная и производственная практики реализуются как в несколько периодов, так и рассредоточенно, чередуясь с учебными занятиями. Типы практики устанавливаются образовательной организацией самостоятельно с учетом ПОП.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2.11. Образовательная организация должна предоставлять инвалидам и лицам с ограниченными возможностями здоровья (по их заявлению) возможность обучения по образовательной программе, учитывающей особенности их психофизического развития, индивидуальных возможностей и, при необходимости, обеспечивающей коррекцию нарушений развития и социальную адаптацию указанных лиц.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2.12. Государственная итоговая аттестация проводится в форме демонстрационного экзамена и защиты дипломного проекта (работы).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2.13. Государственная итоговая аттестация завершается присвоением квалификации специалиста среднего звена, указанной в </w:t>
      </w:r>
      <w:hyperlink w:anchor="P44">
        <w:r>
          <w:rPr>
            <w:color w:val="0000FF"/>
          </w:rPr>
          <w:t>пункте 1.1</w:t>
        </w:r>
      </w:hyperlink>
      <w:r>
        <w:t xml:space="preserve"> ФГОС СПО.</w:t>
      </w:r>
    </w:p>
    <w:p w:rsidR="00EA12B0" w:rsidRDefault="00EA12B0">
      <w:pPr>
        <w:pStyle w:val="ConsPlusNormal"/>
        <w:jc w:val="both"/>
      </w:pPr>
      <w:r>
        <w:t xml:space="preserve">(п. 2.13 в ред. </w:t>
      </w:r>
      <w:hyperlink r:id="rId34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  <w:outlineLvl w:val="1"/>
      </w:pPr>
      <w:bookmarkStart w:id="6" w:name="P148"/>
      <w:bookmarkEnd w:id="6"/>
      <w:r>
        <w:t>III. ТРЕБОВАНИЯ К РЕЗУЛЬТАТАМ ОСВОЕНИЯ</w:t>
      </w:r>
    </w:p>
    <w:p w:rsidR="00EA12B0" w:rsidRDefault="00EA12B0">
      <w:pPr>
        <w:pStyle w:val="ConsPlusTitle"/>
        <w:jc w:val="center"/>
      </w:pPr>
      <w:r>
        <w:t>ОБРАЗОВАТЕЛЬНОЙ ПРОГРАММЫ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3.1. В результате освоения образовательной программы у выпускника должны быть сформированы общие и профессиональные компетенции.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3.2. Выпускник, освоивший образовательную программу, должен обладать следующими общими компетенциями (далее - ОК):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01. Выбирать способы решения задач профессиональной деятельности применительно к различным контекстам;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04. Эффективно взаимодействовать и работать в коллективе и команде;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</w:t>
      </w:r>
      <w:r>
        <w:lastRenderedPageBreak/>
        <w:t>отношений, применять стандарты антикоррупционного поведения;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3.3. Выпускник, освоивший образовательную программу, должен обладать профессиональными компетенциями (далее - ПК), соответствующими видам деятельности (таблица N 2), предусмотренным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сформированным в том числе на основе профессиональных стандартов (при наличии), указанных в ПОП: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jc w:val="right"/>
      </w:pPr>
      <w:r>
        <w:t>Таблица N 2</w:t>
      </w:r>
    </w:p>
    <w:p w:rsidR="00EA12B0" w:rsidRDefault="00EA12B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6633"/>
      </w:tblGrid>
      <w:tr w:rsidR="00EA12B0">
        <w:tc>
          <w:tcPr>
            <w:tcW w:w="2438" w:type="dxa"/>
          </w:tcPr>
          <w:p w:rsidR="00EA12B0" w:rsidRDefault="00EA12B0">
            <w:pPr>
              <w:pStyle w:val="ConsPlusNormal"/>
              <w:jc w:val="center"/>
            </w:pPr>
            <w:r>
              <w:t>Виды деятельности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center"/>
            </w:pPr>
            <w:r>
              <w:t>Профессиональные компетенции, соответствующие видам деятельности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center"/>
            </w:pPr>
            <w:r>
              <w:t>2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</w:pPr>
            <w:r>
              <w:t>разработка технологических процессов изготовления деталей машин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both"/>
            </w:pPr>
            <w:r>
              <w:t>ПК 1.1. Использовать конструкторскую и технологическую документацию при разработке технологических процессов изготовления деталей машин.</w:t>
            </w:r>
          </w:p>
          <w:p w:rsidR="00EA12B0" w:rsidRDefault="00EA12B0">
            <w:pPr>
              <w:pStyle w:val="ConsPlusNormal"/>
              <w:jc w:val="both"/>
            </w:pPr>
            <w:r>
              <w:t>ПК 1.2. Выбирать метод получения заготовок с учетом условий производства.</w:t>
            </w:r>
          </w:p>
          <w:p w:rsidR="00EA12B0" w:rsidRDefault="00EA12B0">
            <w:pPr>
              <w:pStyle w:val="ConsPlusNormal"/>
              <w:jc w:val="both"/>
            </w:pPr>
            <w:r>
              <w:t>ПК 1.3. Выбирать методы механической обработки и последовательность технологического процесса обработки деталей машин в машиностроительном производстве.</w:t>
            </w:r>
          </w:p>
          <w:p w:rsidR="00EA12B0" w:rsidRDefault="00EA12B0">
            <w:pPr>
              <w:pStyle w:val="ConsPlusNormal"/>
              <w:jc w:val="both"/>
            </w:pPr>
            <w:r>
              <w:t>ПК 1.4. Выбирать схемы базирования заготовок, оборудование, инструмент и оснастку для изготовления деталей машин.</w:t>
            </w:r>
          </w:p>
          <w:p w:rsidR="00EA12B0" w:rsidRDefault="00EA12B0">
            <w:pPr>
              <w:pStyle w:val="ConsPlusNormal"/>
              <w:jc w:val="both"/>
            </w:pPr>
            <w:r>
              <w:t>ПК 1.5. Выполнять расчеты параметров механической обработки изготовления деталей машин, в том числе с применением систем автоматизированного проектирования.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1.6. Разрабатывать технологическую документацию по изготовлению деталей машин, в том числе с применением систем автоматизированного проектирования.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</w:pPr>
            <w:r>
              <w:t>разработка и внедрение управляющих программ изготовления деталей машин в машиностроительном производстве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both"/>
            </w:pPr>
            <w:r>
              <w:t>ПК 2.1. Разрабатывать вручную управляющие программы для технологического оборудования.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2.2. Разрабатывать с помощью CAD/CAM систем управляющие программы для технологического оборудования.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2.3. Осуществлять проверку реализации и корректировки управляющих программ на технологическом оборудовании.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</w:pPr>
            <w:r>
              <w:lastRenderedPageBreak/>
              <w:t>разработка и реализация технологических процессов в механосборочном производстве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both"/>
            </w:pPr>
            <w:r>
              <w:t>ПК 3.1. Разрабатывать технологический процесс сборки изделий с применением конструкторской и технологической документации.</w:t>
            </w:r>
          </w:p>
          <w:p w:rsidR="00EA12B0" w:rsidRDefault="00EA12B0">
            <w:pPr>
              <w:pStyle w:val="ConsPlusNormal"/>
              <w:jc w:val="both"/>
            </w:pPr>
            <w:r>
              <w:t>ПК 3.2. Выбирать оборудование, инструмент и оснастку для осуществления сборки изделий.</w:t>
            </w:r>
          </w:p>
          <w:p w:rsidR="00EA12B0" w:rsidRDefault="00EA12B0">
            <w:pPr>
              <w:pStyle w:val="ConsPlusNormal"/>
              <w:jc w:val="both"/>
            </w:pPr>
            <w:r>
              <w:t>ПК 3.3. Разрабатывать технологическую документацию по сборке изделий, в том числе с применением систем автоматизированного проектирования.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3.4. Реализовывать технологический процесс сборки изделий машиностроительного производства.</w:t>
            </w:r>
          </w:p>
          <w:p w:rsidR="00EA12B0" w:rsidRDefault="00EA12B0">
            <w:pPr>
              <w:pStyle w:val="ConsPlusNormal"/>
              <w:jc w:val="both"/>
            </w:pPr>
            <w:r>
              <w:t>ПК 3.5. Контролировать соответствие качества сборки требованиям технологической документации, анализировать причины несоответствия изделий и выпуска продукции низкого качества, участвовать в мероприятиях по их предупреждению и устранению.</w:t>
            </w:r>
          </w:p>
          <w:p w:rsidR="00EA12B0" w:rsidRDefault="00EA12B0">
            <w:pPr>
              <w:pStyle w:val="ConsPlusNormal"/>
              <w:jc w:val="both"/>
            </w:pPr>
            <w:r>
              <w:t>ПК 3.6. Разрабатывать планировки участков механосборочных цехов машиностроительного производства в соответствии с производственными задачами.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</w:pPr>
            <w:r>
              <w:t>организация контроля, наладки и технического обслуживания оборудования машиностроительного производства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both"/>
            </w:pPr>
            <w:r>
              <w:t>ПК 4.1. Осуществлять диагностику неисправностей и отказов систем металлорежущего и аддитивного производственного оборудования.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4.2. Организовывать работы по устранению неполадок, отказов.</w:t>
            </w:r>
          </w:p>
          <w:p w:rsidR="00EA12B0" w:rsidRDefault="00EA12B0">
            <w:pPr>
              <w:pStyle w:val="ConsPlusNormal"/>
              <w:jc w:val="both"/>
            </w:pPr>
            <w:r>
              <w:t>ПК 4.3. Планировать работы по наладке и подналадке металлорежущего и аддитивного оборудования.</w:t>
            </w:r>
          </w:p>
          <w:p w:rsidR="00EA12B0" w:rsidRDefault="00EA12B0">
            <w:pPr>
              <w:pStyle w:val="ConsPlusNormal"/>
              <w:jc w:val="both"/>
            </w:pPr>
            <w:r>
              <w:t>ПК 4.4. Организовывать ресурсное обеспечение работ по наладке.</w:t>
            </w:r>
          </w:p>
          <w:p w:rsidR="00EA12B0" w:rsidRDefault="00EA12B0">
            <w:pPr>
              <w:pStyle w:val="ConsPlusNormal"/>
              <w:jc w:val="both"/>
            </w:pPr>
            <w:r>
              <w:t>ПК 4.5. Контролировать качество работ по наладке и техническому обслуживанию.</w:t>
            </w:r>
          </w:p>
        </w:tc>
      </w:tr>
      <w:tr w:rsidR="00EA12B0">
        <w:tc>
          <w:tcPr>
            <w:tcW w:w="2438" w:type="dxa"/>
          </w:tcPr>
          <w:p w:rsidR="00EA12B0" w:rsidRDefault="00EA12B0">
            <w:pPr>
              <w:pStyle w:val="ConsPlusNormal"/>
            </w:pPr>
            <w:r>
              <w:t>организация работ по реализации технологических процессов в машиностроительном производстве</w:t>
            </w:r>
          </w:p>
        </w:tc>
        <w:tc>
          <w:tcPr>
            <w:tcW w:w="6633" w:type="dxa"/>
          </w:tcPr>
          <w:p w:rsidR="00EA12B0" w:rsidRDefault="00EA12B0">
            <w:pPr>
              <w:pStyle w:val="ConsPlusNormal"/>
              <w:jc w:val="both"/>
            </w:pPr>
            <w:r>
              <w:t>ПК 5.1. Планировать и осуществлять управление деятельностью подчиненного персонала.</w:t>
            </w:r>
          </w:p>
          <w:p w:rsidR="00EA12B0" w:rsidRDefault="00EA12B0">
            <w:pPr>
              <w:pStyle w:val="ConsPlusNormal"/>
              <w:jc w:val="both"/>
            </w:pPr>
            <w:r>
              <w:t>ПК 5.2. Сопровождать подготовку финансовых документов по производству и реализации продукции машиностроительного производства, материально-техническому обеспечению деятельности подразделения.</w:t>
            </w:r>
          </w:p>
          <w:p w:rsidR="00EA12B0" w:rsidRDefault="00EA12B0">
            <w:pPr>
              <w:pStyle w:val="ConsPlusNormal"/>
              <w:jc w:val="both"/>
            </w:pPr>
            <w:r>
              <w:t>ПК 5.3. Контролировать качество продукции, выявлять, анализировать и устранять причины выпуска продукции низкого качества.</w:t>
            </w:r>
          </w:p>
          <w:p w:rsidR="00EA12B0" w:rsidRDefault="00EA12B0">
            <w:pPr>
              <w:pStyle w:val="ConsPlusNormal"/>
              <w:jc w:val="both"/>
            </w:pPr>
            <w:r>
              <w:t>ПК 5.4. Реализовывать технологические процессы в машиностроительном производстве с соблюдением требований охраны труда, безопасности жизнедеятельности и защиты окружающей среды, принципов и методов бережливого производства.</w:t>
            </w:r>
          </w:p>
        </w:tc>
      </w:tr>
    </w:tbl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 xml:space="preserve">3.4. Образовательная организация при необходимости самостоятельно включает в образовательную программу дополнительные профессиональные компетенции по видам деятельности, установленным в соответствии с </w:t>
      </w:r>
      <w:hyperlink w:anchor="P123">
        <w:r>
          <w:rPr>
            <w:color w:val="0000FF"/>
          </w:rPr>
          <w:t>пунктом 2.4</w:t>
        </w:r>
      </w:hyperlink>
      <w:r>
        <w:t xml:space="preserve"> ФГОС СПО, а также по видам деятельности, сформированным в вариативной части образовательной программы образовательной организацией для учета потребностей регионального рынка труда.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lastRenderedPageBreak/>
        <w:t>Образовательная организация при необходимости вводит в вариативную часть учебных циклов образовательной программы модуль по освоению компетенций цифровой экономики, соответствующих одному или нескольким видам деятельности, осваиваемых в рамках образовательной программы.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3.5. Образовательная организация с учетом ПОП самостоятельно планирует результаты обучения по отдельным дисциплинам (модулям) и практикам, которые должны быть соотнесены с требуемыми результатами освоения образовательной программы.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Совокупность запланированных результатов обучения по дисциплинам (модулям) и практикам должна обеспечивать выпускнику освоение всех компетенций, установленных образовательной программой.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3.6. Обучающиеся, осваивающие образовательную программу, могут освоить профессию рабочего, должность служащего (одну или несколько) в соответствии с перечнем профессий рабочих, должностей служащих, по которым осуществляется профессиональное обучение &lt;6&gt;.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&lt;6&gt; </w:t>
      </w:r>
      <w:hyperlink r:id="rId39">
        <w:r>
          <w:rPr>
            <w:color w:val="0000FF"/>
          </w:rPr>
          <w:t>Часть 7 статьи 73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Федерации. 2012, N 53, ст. 7598; 2020, N 22, ст. 3379).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jc w:val="center"/>
        <w:outlineLvl w:val="1"/>
      </w:pPr>
      <w:r>
        <w:t>IV. ТРЕБОВАНИЯ К УСЛОВИЯМ РЕАЛИЗАЦИИ</w:t>
      </w:r>
    </w:p>
    <w:p w:rsidR="00EA12B0" w:rsidRDefault="00EA12B0">
      <w:pPr>
        <w:pStyle w:val="ConsPlusTitle"/>
        <w:jc w:val="center"/>
      </w:pPr>
      <w:r>
        <w:t>ОБРАЗОВАТЕЛЬНОЙ ПРОГРАММЫ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>4.1. Образовательная организация осуществляет образовательную деятельность по реализации образовательной программы среднего профессионального образования в соответствии с действующими санитарными нормами и правилами &lt;7&gt;.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&lt;7&gt; Федеральный </w:t>
      </w:r>
      <w:hyperlink r:id="rId40">
        <w:r>
          <w:rPr>
            <w:color w:val="0000FF"/>
          </w:rPr>
          <w:t>закон</w:t>
        </w:r>
      </w:hyperlink>
      <w:r>
        <w:t xml:space="preserve"> от 30 марта 1999 г. N 52-ФЗ "О санитарно-эпидемиологическом благополучии населения" (Собрание законодательства Российской Федерации, 1999, N 14, ст. 1650; 2021, N 27, ст. 5185); санитарные правила </w:t>
      </w:r>
      <w:hyperlink r:id="rId41">
        <w:r>
          <w:rPr>
            <w:color w:val="0000FF"/>
          </w:rPr>
          <w:t>СП 2.4.3648-20</w:t>
        </w:r>
      </w:hyperlink>
      <w: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 г. N 28 (зарегистрировано Министерством юстиции Российской Федерации 18 декабря 2020 г., регистрационный N 61573); санитарно-эпидемиологические правила и нормы </w:t>
      </w:r>
      <w:hyperlink r:id="rId42">
        <w:r>
          <w:rPr>
            <w:color w:val="0000FF"/>
          </w:rPr>
          <w:t>СанПиН 2.3/2.4.3590-20</w:t>
        </w:r>
      </w:hyperlink>
      <w:r>
        <w:t xml:space="preserve">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 октября 2020 г. N 32 (зарегистрировано Министерством юстиции Российской Федерации 11 ноября 2020 г., регистрационный N 60833); санитарные правила и нормы </w:t>
      </w:r>
      <w:hyperlink r:id="rId43">
        <w:r>
          <w:rPr>
            <w:color w:val="0000FF"/>
          </w:rPr>
          <w:t>СанПиН 1.2.3685-21</w:t>
        </w:r>
      </w:hyperlink>
      <w:r>
        <w:t xml:space="preserve">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(зарегистрировано Министерством юстиции Российской Федерации 29 января 2021 г., регистрационный N 62296).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  <w:r>
        <w:t xml:space="preserve">4.2. Требования к условиям реализации образовательной программы включают в себя </w:t>
      </w:r>
      <w:r>
        <w:lastRenderedPageBreak/>
        <w:t>общесистемные требования, требования к материально-техническому, учебно-методическому обеспечению, к организации воспитания обучающихся, кадровым и финансовым условиям реализации образовательной программы: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ind w:firstLine="540"/>
        <w:jc w:val="both"/>
        <w:outlineLvl w:val="2"/>
      </w:pPr>
      <w:r>
        <w:t>4.3. Общесистемные требования к условиям реализации образовательной программы: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а) образовательная организация должна располагать на праве собственности или ином законном основании материально-технической базой, обеспечивающей проведение всех видов учебной деятельности обучающихся, включая проведение демонстрационного экзамена, предусмотренных учебным планом, с учетом ПОП;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б)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образовательной программы с использованием сетевой формы.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ind w:firstLine="540"/>
        <w:jc w:val="both"/>
        <w:outlineLvl w:val="2"/>
      </w:pPr>
      <w:r>
        <w:t>4.4. Требования к материально-техническому и учебно-методическому обеспечению реализации образовательной программы: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а) специальные помещения должны представлять собой учебные аудитории, лаборатории, мастерские, оснащенные оборудованием, техническими средствами обучения для проведения занятий всех видов, предусмотренных образовательной программой, в том числе групповых и индивидуальных консультаций, а также для проведения текущего контроля, промежуточной и государственной итоговой аттестации, помещения для организации самостоятельной и воспитательной работы;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б) все виды учебной деятельности обучающихся, предусмотренные учебным планом, включая промежуточную и государственную итоговую аттестацию, должны быть обеспечены расходными материалами;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в) 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информационно-телекоммуникационной сети "Интернет" и обеспечением доступа в электронную информационно-образовательную среду образовательной организации (при наличии);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г) допускается замена оборудования его виртуальными аналогами;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д) образовательная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е)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ж) в качестве основной литературы образовательная организация использует учебники, учебные пособия, предусмотренные ПОП;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lastRenderedPageBreak/>
        <w:t>з) в случае наличия электронной информационно-образовательной среды допускается замена печатного библиотечного фонда с предоставлением права одновременного доступа не менее 25 процентов обучающихся к цифровой (электронной) библиотеке;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и)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к) обучающиеся инвалиды и лица с ограниченными возможностями здоровья должны быть обеспечены печатными и (или) электронными учебными изданиями, адаптированными при необходимости для обучения указанных обучающихся;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л) образовательная программа должна обеспечиваться учебно-методической документацией по всем учебным дисциплинам (модулям), видам практики, видам государственной итоговой аттестации;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м) рекомендации по иному материально-техническому и учебно-методическому обеспечению реализации образовательной программы определяются ПОП.</w:t>
      </w:r>
    </w:p>
    <w:p w:rsidR="00EA12B0" w:rsidRDefault="00EA12B0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ind w:firstLine="540"/>
        <w:jc w:val="both"/>
        <w:outlineLvl w:val="2"/>
      </w:pPr>
      <w:r>
        <w:t>4.5. Требования к кадровым условиям реализации образовательной программы: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а) 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одной из областей профессиональной деятельности, указанных в </w:t>
      </w:r>
      <w:hyperlink w:anchor="P79">
        <w:r>
          <w:rPr>
            <w:color w:val="0000FF"/>
          </w:rPr>
          <w:t>пункте 1.14</w:t>
        </w:r>
      </w:hyperlink>
      <w:r>
        <w:t xml:space="preserve"> ФГОС СПО (имеющих стаж работы в данной профессиональной области не менее трех лет);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б) 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в) педагогические 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одной из областей профессиональной деятельности, указанных в </w:t>
      </w:r>
      <w:hyperlink w:anchor="P79">
        <w:r>
          <w:rPr>
            <w:color w:val="0000FF"/>
          </w:rPr>
          <w:t>пункте 1.14</w:t>
        </w:r>
      </w:hyperlink>
      <w:r>
        <w:t xml:space="preserve"> ФГОС СПО,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г) 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одной из областей профессиональной деятельности, указанных в </w:t>
      </w:r>
      <w:hyperlink w:anchor="P79">
        <w:r>
          <w:rPr>
            <w:color w:val="0000FF"/>
          </w:rPr>
          <w:t>пункте 1.14</w:t>
        </w:r>
      </w:hyperlink>
      <w:r>
        <w:t xml:space="preserve"> ФГОС СПО,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процентов.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ind w:firstLine="540"/>
        <w:jc w:val="both"/>
        <w:outlineLvl w:val="2"/>
      </w:pPr>
      <w:r>
        <w:t xml:space="preserve">4.6. Требование к финансовым условиям реализации образовательной </w:t>
      </w:r>
      <w:r>
        <w:lastRenderedPageBreak/>
        <w:t>программы: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&lt;8&gt; и Федеральным </w:t>
      </w:r>
      <w:hyperlink r:id="rId47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Федерации".</w:t>
      </w:r>
    </w:p>
    <w:p w:rsidR="00EA12B0" w:rsidRDefault="00EA12B0">
      <w:pPr>
        <w:pStyle w:val="ConsPlusNormal"/>
        <w:jc w:val="both"/>
      </w:pPr>
      <w:r>
        <w:t xml:space="preserve">(п. 4.6 в ред. </w:t>
      </w:r>
      <w:hyperlink r:id="rId4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 xml:space="preserve">&lt;8&gt; Бюджетный </w:t>
      </w:r>
      <w:hyperlink r:id="rId49">
        <w:r>
          <w:rPr>
            <w:color w:val="0000FF"/>
          </w:rPr>
          <w:t>кодекс</w:t>
        </w:r>
      </w:hyperlink>
      <w:r>
        <w:t xml:space="preserve"> Российской Федерации.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Title"/>
        <w:ind w:firstLine="540"/>
        <w:jc w:val="both"/>
        <w:outlineLvl w:val="2"/>
      </w:pPr>
      <w:r>
        <w:t>4.7. Требования к применяемым механизмам оценки качества образовательной программы: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а) качество образовательной программы определяется в рамках системы внутренней оценки, а также системы внешней оценки на добровольной основе;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б)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объединения, иных юридических и (или) физических лиц, включая педагогических работников образовательной организации;</w:t>
      </w:r>
    </w:p>
    <w:p w:rsidR="00EA12B0" w:rsidRDefault="00EA12B0">
      <w:pPr>
        <w:pStyle w:val="ConsPlusNormal"/>
        <w:spacing w:before="240"/>
        <w:ind w:firstLine="540"/>
        <w:jc w:val="both"/>
      </w:pPr>
      <w:r>
        <w:t>в) внешняя оценка качества образовательной программы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 в целях признания качества и уровня подготовки выпускников, отвечающих требованиям профессиональных стандартов, требованиям рынка труда к специалистам соответствующего профиля.</w:t>
      </w:r>
    </w:p>
    <w:p w:rsidR="00EA12B0" w:rsidRDefault="00EA12B0">
      <w:pPr>
        <w:pStyle w:val="ConsPlusNormal"/>
        <w:jc w:val="both"/>
      </w:pPr>
      <w:r>
        <w:t xml:space="preserve">(пп. "в" в ред. </w:t>
      </w:r>
      <w:hyperlink r:id="rId50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ind w:firstLine="540"/>
        <w:jc w:val="both"/>
      </w:pPr>
    </w:p>
    <w:p w:rsidR="00EA12B0" w:rsidRDefault="00EA12B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315" w:rsidRDefault="00EC1315">
      <w:bookmarkStart w:id="7" w:name="_GoBack"/>
      <w:bookmarkEnd w:id="7"/>
    </w:p>
    <w:sectPr w:rsidR="00EC1315" w:rsidSect="002F7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B0"/>
    <w:rsid w:val="00EA12B0"/>
    <w:rsid w:val="00EC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ED576-FDDF-46C3-8C74-FA1CDCC7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bCs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12B0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Title">
    <w:name w:val="ConsPlusTitle"/>
    <w:rsid w:val="00EA12B0"/>
    <w:pPr>
      <w:widowControl w:val="0"/>
      <w:autoSpaceDE w:val="0"/>
      <w:autoSpaceDN w:val="0"/>
      <w:spacing w:after="0" w:line="240" w:lineRule="auto"/>
    </w:pPr>
    <w:rPr>
      <w:rFonts w:eastAsiaTheme="minorEastAsia"/>
      <w:b/>
      <w:bCs w:val="0"/>
      <w:szCs w:val="22"/>
      <w:lang w:eastAsia="ru-RU"/>
    </w:rPr>
  </w:style>
  <w:style w:type="paragraph" w:customStyle="1" w:styleId="ConsPlusTitlePage">
    <w:name w:val="ConsPlusTitlePage"/>
    <w:rsid w:val="00EA12B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11930" TargetMode="External"/><Relationship Id="rId18" Type="http://schemas.openxmlformats.org/officeDocument/2006/relationships/hyperlink" Target="https://login.consultant.ru/link/?req=doc&amp;base=LAW&amp;n=483090&amp;dst=110609" TargetMode="External"/><Relationship Id="rId26" Type="http://schemas.openxmlformats.org/officeDocument/2006/relationships/hyperlink" Target="https://login.consultant.ru/link/?req=doc&amp;base=LAW&amp;n=214720&amp;dst=100116" TargetMode="External"/><Relationship Id="rId39" Type="http://schemas.openxmlformats.org/officeDocument/2006/relationships/hyperlink" Target="https://login.consultant.ru/link/?req=doc&amp;base=LAW&amp;n=470336&amp;dst=415" TargetMode="External"/><Relationship Id="rId21" Type="http://schemas.openxmlformats.org/officeDocument/2006/relationships/hyperlink" Target="https://login.consultant.ru/link/?req=doc&amp;base=LAW&amp;n=483090&amp;dst=110610" TargetMode="External"/><Relationship Id="rId34" Type="http://schemas.openxmlformats.org/officeDocument/2006/relationships/hyperlink" Target="https://login.consultant.ru/link/?req=doc&amp;base=LAW&amp;n=483090&amp;dst=110627" TargetMode="External"/><Relationship Id="rId42" Type="http://schemas.openxmlformats.org/officeDocument/2006/relationships/hyperlink" Target="https://login.consultant.ru/link/?req=doc&amp;base=LAW&amp;n=367564&amp;dst=100037" TargetMode="External"/><Relationship Id="rId47" Type="http://schemas.openxmlformats.org/officeDocument/2006/relationships/hyperlink" Target="https://login.consultant.ru/link/?req=doc&amp;base=LAW&amp;n=470336" TargetMode="External"/><Relationship Id="rId50" Type="http://schemas.openxmlformats.org/officeDocument/2006/relationships/hyperlink" Target="https://login.consultant.ru/link/?req=doc&amp;base=LAW&amp;n=483090&amp;dst=110643" TargetMode="External"/><Relationship Id="rId7" Type="http://schemas.openxmlformats.org/officeDocument/2006/relationships/hyperlink" Target="https://login.consultant.ru/link/?req=doc&amp;base=LAW&amp;n=481262&amp;dst=1000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0946&amp;dst=4" TargetMode="External"/><Relationship Id="rId29" Type="http://schemas.openxmlformats.org/officeDocument/2006/relationships/hyperlink" Target="https://login.consultant.ru/link/?req=doc&amp;base=LAW&amp;n=483090&amp;dst=110613" TargetMode="External"/><Relationship Id="rId11" Type="http://schemas.openxmlformats.org/officeDocument/2006/relationships/hyperlink" Target="https://login.consultant.ru/link/?req=doc&amp;base=LAW&amp;n=377712&amp;dst=133" TargetMode="External"/><Relationship Id="rId24" Type="http://schemas.openxmlformats.org/officeDocument/2006/relationships/hyperlink" Target="https://login.consultant.ru/link/?req=doc&amp;base=LAW&amp;n=214720&amp;dst=100110" TargetMode="External"/><Relationship Id="rId32" Type="http://schemas.openxmlformats.org/officeDocument/2006/relationships/hyperlink" Target="https://login.consultant.ru/link/?req=doc&amp;base=LAW&amp;n=483090&amp;dst=110625" TargetMode="External"/><Relationship Id="rId37" Type="http://schemas.openxmlformats.org/officeDocument/2006/relationships/hyperlink" Target="https://login.consultant.ru/link/?req=doc&amp;base=LAW&amp;n=483090&amp;dst=110632" TargetMode="External"/><Relationship Id="rId40" Type="http://schemas.openxmlformats.org/officeDocument/2006/relationships/hyperlink" Target="https://login.consultant.ru/link/?req=doc&amp;base=LAW&amp;n=483030" TargetMode="External"/><Relationship Id="rId45" Type="http://schemas.openxmlformats.org/officeDocument/2006/relationships/hyperlink" Target="https://login.consultant.ru/link/?req=doc&amp;base=LAW&amp;n=483090&amp;dst=110636" TargetMode="External"/><Relationship Id="rId5" Type="http://schemas.openxmlformats.org/officeDocument/2006/relationships/hyperlink" Target="https://login.consultant.ru/link/?req=doc&amp;base=LAW&amp;n=483090&amp;dst=110606" TargetMode="External"/><Relationship Id="rId15" Type="http://schemas.openxmlformats.org/officeDocument/2006/relationships/hyperlink" Target="https://login.consultant.ru/link/?req=doc&amp;base=LAW&amp;n=483090&amp;dst=110607" TargetMode="External"/><Relationship Id="rId23" Type="http://schemas.openxmlformats.org/officeDocument/2006/relationships/hyperlink" Target="https://login.consultant.ru/link/?req=doc&amp;base=LAW&amp;n=214720&amp;dst=100098" TargetMode="External"/><Relationship Id="rId28" Type="http://schemas.openxmlformats.org/officeDocument/2006/relationships/hyperlink" Target="https://login.consultant.ru/link/?req=doc&amp;base=LAW&amp;n=483090&amp;dst=110611" TargetMode="External"/><Relationship Id="rId36" Type="http://schemas.openxmlformats.org/officeDocument/2006/relationships/hyperlink" Target="https://login.consultant.ru/link/?req=doc&amp;base=LAW&amp;n=483090&amp;dst=110631" TargetMode="External"/><Relationship Id="rId49" Type="http://schemas.openxmlformats.org/officeDocument/2006/relationships/hyperlink" Target="https://login.consultant.ru/link/?req=doc&amp;base=LAW&amp;n=469774" TargetMode="External"/><Relationship Id="rId10" Type="http://schemas.openxmlformats.org/officeDocument/2006/relationships/hyperlink" Target="https://login.consultant.ru/link/?req=doc&amp;base=LAW&amp;n=375009&amp;dst=100011" TargetMode="External"/><Relationship Id="rId19" Type="http://schemas.openxmlformats.org/officeDocument/2006/relationships/hyperlink" Target="https://login.consultant.ru/link/?req=doc&amp;base=LAW&amp;n=470336&amp;dst=446" TargetMode="External"/><Relationship Id="rId31" Type="http://schemas.openxmlformats.org/officeDocument/2006/relationships/hyperlink" Target="https://login.consultant.ru/link/?req=doc&amp;base=LAW&amp;n=483090&amp;dst=110624" TargetMode="External"/><Relationship Id="rId44" Type="http://schemas.openxmlformats.org/officeDocument/2006/relationships/hyperlink" Target="https://login.consultant.ru/link/?req=doc&amp;base=LAW&amp;n=483090&amp;dst=110634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77712&amp;dst=101184" TargetMode="External"/><Relationship Id="rId14" Type="http://schemas.openxmlformats.org/officeDocument/2006/relationships/hyperlink" Target="https://login.consultant.ru/link/?req=doc&amp;base=LAW&amp;n=483090&amp;dst=110606" TargetMode="External"/><Relationship Id="rId22" Type="http://schemas.openxmlformats.org/officeDocument/2006/relationships/hyperlink" Target="https://login.consultant.ru/link/?req=doc&amp;base=LAW&amp;n=411930&amp;dst=100030" TargetMode="External"/><Relationship Id="rId27" Type="http://schemas.openxmlformats.org/officeDocument/2006/relationships/hyperlink" Target="https://login.consultant.ru/link/?req=doc&amp;base=LAW&amp;n=214720&amp;dst=100047" TargetMode="External"/><Relationship Id="rId30" Type="http://schemas.openxmlformats.org/officeDocument/2006/relationships/hyperlink" Target="https://login.consultant.ru/link/?req=doc&amp;base=LAW&amp;n=483090&amp;dst=110623" TargetMode="External"/><Relationship Id="rId35" Type="http://schemas.openxmlformats.org/officeDocument/2006/relationships/hyperlink" Target="https://login.consultant.ru/link/?req=doc&amp;base=LAW&amp;n=483090&amp;dst=110630" TargetMode="External"/><Relationship Id="rId43" Type="http://schemas.openxmlformats.org/officeDocument/2006/relationships/hyperlink" Target="https://login.consultant.ru/link/?req=doc&amp;base=LAW&amp;n=441707&amp;dst=100137" TargetMode="External"/><Relationship Id="rId48" Type="http://schemas.openxmlformats.org/officeDocument/2006/relationships/hyperlink" Target="https://login.consultant.ru/link/?req=doc&amp;base=LAW&amp;n=483090&amp;dst=110638" TargetMode="External"/><Relationship Id="rId8" Type="http://schemas.openxmlformats.org/officeDocument/2006/relationships/hyperlink" Target="https://login.consultant.ru/link/?req=doc&amp;base=LAW&amp;n=398408&amp;dst=100012" TargetMode="Externa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77946&amp;dst=100768" TargetMode="External"/><Relationship Id="rId17" Type="http://schemas.openxmlformats.org/officeDocument/2006/relationships/hyperlink" Target="https://login.consultant.ru/link/?req=doc&amp;base=LAW&amp;n=483090&amp;dst=110608" TargetMode="External"/><Relationship Id="rId25" Type="http://schemas.openxmlformats.org/officeDocument/2006/relationships/hyperlink" Target="https://login.consultant.ru/link/?req=doc&amp;base=LAW&amp;n=214720&amp;dst=100112" TargetMode="External"/><Relationship Id="rId33" Type="http://schemas.openxmlformats.org/officeDocument/2006/relationships/hyperlink" Target="https://login.consultant.ru/link/?req=doc&amp;base=LAW&amp;n=483090&amp;dst=110626" TargetMode="External"/><Relationship Id="rId38" Type="http://schemas.openxmlformats.org/officeDocument/2006/relationships/hyperlink" Target="https://login.consultant.ru/link/?req=doc&amp;base=LAW&amp;n=483090&amp;dst=110633" TargetMode="External"/><Relationship Id="rId46" Type="http://schemas.openxmlformats.org/officeDocument/2006/relationships/hyperlink" Target="https://login.consultant.ru/link/?req=doc&amp;base=LAW&amp;n=483090&amp;dst=110637" TargetMode="External"/><Relationship Id="rId20" Type="http://schemas.openxmlformats.org/officeDocument/2006/relationships/hyperlink" Target="https://login.consultant.ru/link/?req=doc&amp;base=LAW&amp;n=470336&amp;dst=100249" TargetMode="External"/><Relationship Id="rId41" Type="http://schemas.openxmlformats.org/officeDocument/2006/relationships/hyperlink" Target="https://login.consultant.ru/link/?req=doc&amp;base=LAW&amp;n=371594&amp;dst=10004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734&amp;dst=100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6011</Words>
  <Characters>34268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</cp:revision>
  <dcterms:created xsi:type="dcterms:W3CDTF">2024-10-14T05:41:00Z</dcterms:created>
  <dcterms:modified xsi:type="dcterms:W3CDTF">2024-10-14T05:42:00Z</dcterms:modified>
</cp:coreProperties>
</file>